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b/>
          <w:sz w:val="36"/>
          <w:szCs w:val="36"/>
        </w:rPr>
      </w:pPr>
    </w:p>
    <w:p>
      <w:pPr>
        <w:spacing w:line="560" w:lineRule="exact"/>
        <w:jc w:val="center"/>
        <w:rPr>
          <w:b/>
          <w:sz w:val="36"/>
          <w:szCs w:val="36"/>
        </w:rPr>
      </w:pPr>
    </w:p>
    <w:p>
      <w:pPr>
        <w:spacing w:line="560" w:lineRule="exact"/>
        <w:jc w:val="center"/>
        <w:rPr>
          <w:b/>
          <w:sz w:val="36"/>
          <w:szCs w:val="36"/>
        </w:rPr>
      </w:pPr>
    </w:p>
    <w:p>
      <w:pPr>
        <w:spacing w:line="560" w:lineRule="exact"/>
        <w:jc w:val="center"/>
        <w:rPr>
          <w:rFonts w:hint="eastAsia" w:eastAsia="微软雅黑"/>
          <w:b/>
          <w:sz w:val="36"/>
          <w:szCs w:val="36"/>
          <w:lang w:val="en-US" w:eastAsia="zh-CN"/>
        </w:rPr>
      </w:pPr>
    </w:p>
    <w:p>
      <w:pPr>
        <w:spacing w:line="560" w:lineRule="exact"/>
        <w:jc w:val="center"/>
        <w:rPr>
          <w:rFonts w:hint="eastAsia" w:eastAsia="微软雅黑"/>
          <w:b/>
          <w:sz w:val="36"/>
          <w:szCs w:val="36"/>
          <w:lang w:val="en-US" w:eastAsia="zh-CN"/>
        </w:rPr>
      </w:pPr>
    </w:p>
    <w:p>
      <w:pPr>
        <w:spacing w:line="560" w:lineRule="exact"/>
        <w:jc w:val="center"/>
        <w:rPr>
          <w:b/>
          <w:sz w:val="36"/>
          <w:szCs w:val="36"/>
        </w:rPr>
      </w:pPr>
    </w:p>
    <w:p>
      <w:pPr>
        <w:pStyle w:val="8"/>
        <w:jc w:val="center"/>
        <w:rPr>
          <w:rFonts w:hAnsi="仿宋" w:cs="Times New Roman"/>
          <w:color w:val="auto"/>
          <w:kern w:val="2"/>
          <w:sz w:val="32"/>
          <w:szCs w:val="32"/>
        </w:rPr>
      </w:pPr>
      <w:r>
        <w:rPr>
          <w:rFonts w:hint="eastAsia" w:hAnsi="仿宋"/>
          <w:sz w:val="32"/>
          <w:szCs w:val="32"/>
        </w:rPr>
        <w:t>浙经院纪〔2018〕5号</w:t>
      </w:r>
    </w:p>
    <w:p>
      <w:pPr>
        <w:jc w:val="center"/>
        <w:rPr>
          <w:rFonts w:ascii="方正小标宋简体" w:hAnsi="宋体" w:eastAsia="方正小标宋简体"/>
          <w:b/>
          <w:color w:val="000000"/>
          <w:sz w:val="44"/>
          <w:szCs w:val="44"/>
        </w:rPr>
      </w:pPr>
    </w:p>
    <w:p>
      <w:pPr>
        <w:tabs>
          <w:tab w:val="left" w:pos="7560"/>
        </w:tabs>
        <w:spacing w:after="0"/>
        <w:jc w:val="center"/>
        <w:rPr>
          <w:rFonts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关于印发《浙江经济职业技术学院重要监督事项报备办法》的通知</w:t>
      </w:r>
    </w:p>
    <w:p>
      <w:pPr>
        <w:autoSpaceDE w:val="0"/>
        <w:autoSpaceDN w:val="0"/>
        <w:ind w:firstLine="160" w:firstLineChars="50"/>
        <w:rPr>
          <w:rFonts w:ascii="仿宋_GB2312" w:eastAsia="仿宋_GB2312" w:cs="仿宋_GB2312"/>
          <w:sz w:val="32"/>
          <w:szCs w:val="32"/>
        </w:rPr>
      </w:pPr>
    </w:p>
    <w:p>
      <w:pPr>
        <w:widowControl w:val="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各党总支（直属党支部）、院属各部门:</w:t>
      </w:r>
    </w:p>
    <w:p>
      <w:pPr>
        <w:widowControl w:val="0"/>
        <w:autoSpaceDE w:val="0"/>
        <w:autoSpaceDN w:val="0"/>
        <w:snapToGrid/>
        <w:spacing w:line="560" w:lineRule="exact"/>
        <w:ind w:firstLine="640" w:firstLineChars="200"/>
        <w:jc w:val="both"/>
        <w:rPr>
          <w:rFonts w:ascii="仿宋_GB2312" w:hAnsi="宋体" w:eastAsia="仿宋_GB2312"/>
          <w:sz w:val="32"/>
          <w:szCs w:val="32"/>
        </w:rPr>
      </w:pPr>
      <w:r>
        <w:rPr>
          <w:rFonts w:hint="eastAsia" w:ascii="仿宋_GB2312" w:hAnsi="仿宋_GB2312" w:eastAsia="仿宋_GB2312" w:cs="仿宋_GB2312"/>
          <w:sz w:val="32"/>
          <w:szCs w:val="32"/>
        </w:rPr>
        <w:t>《</w:t>
      </w:r>
      <w:r>
        <w:rPr>
          <w:rFonts w:hint="eastAsia" w:ascii="仿宋_GB2312" w:hAnsi="Calibri" w:eastAsia="仿宋_GB2312" w:cs="宋体"/>
          <w:sz w:val="32"/>
          <w:szCs w:val="32"/>
        </w:rPr>
        <w:t>浙江经济职业技术学院重要监督事项报备办法》已经学校纪委会议讨论通过，并报党委会审定，现印发给你们，</w:t>
      </w:r>
      <w:r>
        <w:rPr>
          <w:rFonts w:hint="eastAsia" w:ascii="仿宋_GB2312" w:hAnsi="宋体" w:eastAsia="仿宋_GB2312"/>
          <w:sz w:val="32"/>
          <w:szCs w:val="32"/>
        </w:rPr>
        <w:t>请遵照执行。</w:t>
      </w:r>
    </w:p>
    <w:p>
      <w:pPr>
        <w:widowControl w:val="0"/>
        <w:spacing w:line="560" w:lineRule="exact"/>
        <w:ind w:firstLine="640" w:firstLineChars="200"/>
        <w:rPr>
          <w:rFonts w:ascii="仿宋_GB2312" w:hAnsi="宋体" w:eastAsia="仿宋_GB2312"/>
          <w:sz w:val="32"/>
          <w:szCs w:val="32"/>
        </w:rPr>
      </w:pPr>
    </w:p>
    <w:p>
      <w:pPr>
        <w:widowControl w:val="0"/>
        <w:spacing w:line="560" w:lineRule="exact"/>
        <w:rPr>
          <w:rFonts w:ascii="仿宋_GB2312" w:hAnsi="宋体" w:eastAsia="仿宋_GB2312"/>
          <w:sz w:val="32"/>
          <w:szCs w:val="32"/>
        </w:rPr>
      </w:pPr>
    </w:p>
    <w:p>
      <w:pPr>
        <w:widowControl w:val="0"/>
        <w:spacing w:line="560" w:lineRule="exact"/>
        <w:rPr>
          <w:rFonts w:ascii="仿宋_GB2312" w:hAnsi="宋体" w:eastAsia="仿宋_GB2312"/>
          <w:sz w:val="32"/>
          <w:szCs w:val="32"/>
        </w:rPr>
      </w:pPr>
    </w:p>
    <w:p>
      <w:pPr>
        <w:widowControl w:val="0"/>
        <w:spacing w:line="560" w:lineRule="exact"/>
        <w:ind w:firstLine="2080" w:firstLineChars="650"/>
        <w:rPr>
          <w:rFonts w:ascii="仿宋_GB2312" w:hAnsi="宋体" w:eastAsia="仿宋_GB2312"/>
          <w:sz w:val="32"/>
          <w:szCs w:val="32"/>
        </w:rPr>
      </w:pPr>
      <w:r>
        <w:rPr>
          <w:rFonts w:hint="eastAsia" w:ascii="仿宋_GB2312" w:hAnsi="仿宋_GB2312" w:eastAsia="仿宋_GB2312" w:cs="仿宋_GB2312"/>
          <w:sz w:val="32"/>
          <w:szCs w:val="32"/>
        </w:rPr>
        <w:t>中共浙江经济职业技术学院纪律检查委员会</w:t>
      </w:r>
    </w:p>
    <w:p>
      <w:pPr>
        <w:widowControl w:val="0"/>
        <w:spacing w:line="560" w:lineRule="exact"/>
        <w:ind w:firstLine="4800" w:firstLineChars="1500"/>
        <w:rPr>
          <w:rFonts w:ascii="仿宋_GB2312" w:hAnsi="仿宋_GB2312" w:eastAsia="仿宋_GB2312" w:cs="仿宋_GB2312"/>
          <w:sz w:val="32"/>
          <w:szCs w:val="32"/>
        </w:rPr>
      </w:pPr>
      <w:r>
        <w:rPr>
          <w:rFonts w:hint="eastAsia" w:ascii="仿宋_GB2312" w:hAnsi="仿宋_GB2312" w:eastAsia="仿宋_GB2312" w:cs="仿宋_GB2312"/>
          <w:sz w:val="32"/>
          <w:szCs w:val="32"/>
        </w:rPr>
        <w:t>2018年6月11日</w:t>
      </w:r>
    </w:p>
    <w:p>
      <w:pPr>
        <w:widowControl w:val="0"/>
        <w:autoSpaceDE w:val="0"/>
        <w:autoSpaceDN w:val="0"/>
        <w:spacing w:line="560" w:lineRule="exact"/>
        <w:ind w:firstLine="160" w:firstLineChars="50"/>
        <w:rPr>
          <w:rFonts w:ascii="仿宋_GB2312" w:eastAsia="仿宋_GB2312" w:cs="仿宋_GB2312"/>
          <w:sz w:val="32"/>
          <w:szCs w:val="32"/>
        </w:rPr>
      </w:pPr>
    </w:p>
    <w:p>
      <w:pPr>
        <w:tabs>
          <w:tab w:val="left" w:pos="7560"/>
        </w:tabs>
        <w:spacing w:after="0" w:line="560" w:lineRule="exact"/>
        <w:jc w:val="center"/>
        <w:rPr>
          <w:rFonts w:ascii="方正小标宋简体" w:hAnsi="方正小标宋简体" w:eastAsia="方正小标宋简体" w:cs="方正小标宋简体"/>
          <w:sz w:val="44"/>
          <w:szCs w:val="44"/>
        </w:rPr>
      </w:pPr>
    </w:p>
    <w:p>
      <w:pPr>
        <w:tabs>
          <w:tab w:val="left" w:pos="7560"/>
        </w:tabs>
        <w:spacing w:after="0"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浙江经济职业技术学院重要监督事项报备办法</w:t>
      </w:r>
    </w:p>
    <w:p>
      <w:pPr>
        <w:tabs>
          <w:tab w:val="left" w:pos="7560"/>
        </w:tabs>
        <w:spacing w:after="0"/>
        <w:ind w:firstLine="1680" w:firstLineChars="700"/>
        <w:rPr>
          <w:rFonts w:ascii="宋体" w:hAnsi="宋体" w:cs="仿宋_GB2312"/>
          <w:sz w:val="24"/>
        </w:rPr>
      </w:pPr>
    </w:p>
    <w:p>
      <w:pPr>
        <w:tabs>
          <w:tab w:val="left" w:pos="7560"/>
        </w:tabs>
        <w:spacing w:after="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第一条  为进一步贯彻落实中纪委关于深化监督执纪问责的工作部署和持续推进“转职能、转方式、转作风”的工作要求，推动学校各部门自觉履行“一岗双责”，加大对重要事项的监管监督力度，落实党风廉政建设和反腐败工作责任制，根据</w:t>
      </w:r>
      <w:r>
        <w:rPr>
          <w:rFonts w:hint="eastAsia" w:ascii="仿宋_GB2312" w:hAnsi="仿宋_GB2312" w:eastAsia="仿宋_GB2312" w:cs="仿宋_GB2312"/>
          <w:bCs/>
          <w:sz w:val="32"/>
          <w:szCs w:val="32"/>
        </w:rPr>
        <w:t>省委、省政府《关于进一步加强高校反腐倡廉建设的意见》</w:t>
      </w:r>
      <w:r>
        <w:rPr>
          <w:rFonts w:hint="eastAsia" w:ascii="仿宋_GB2312" w:hAnsi="仿宋_GB2312" w:eastAsia="仿宋_GB2312" w:cs="仿宋_GB2312"/>
          <w:sz w:val="32"/>
          <w:szCs w:val="32"/>
        </w:rPr>
        <w:t>等有关规定和学校《落实党风廉政建设主体责任的实施办法（试行）》《关于落实党风廉政建设监督责任的实施细则》，制定本办法。</w:t>
      </w:r>
    </w:p>
    <w:p>
      <w:pPr>
        <w:tabs>
          <w:tab w:val="left" w:pos="7560"/>
        </w:tabs>
        <w:spacing w:after="0" w:line="560" w:lineRule="exact"/>
        <w:ind w:firstLine="640" w:firstLineChars="200"/>
        <w:jc w:val="both"/>
        <w:rPr>
          <w:rFonts w:ascii="仿宋_GB2312" w:hAnsi="仿宋_GB2312" w:eastAsia="仿宋_GB2312" w:cs="仿宋_GB2312"/>
          <w:color w:val="auto"/>
          <w:sz w:val="32"/>
          <w:szCs w:val="32"/>
          <w:highlight w:val="none"/>
          <w:u w:val="none"/>
        </w:rPr>
      </w:pPr>
      <w:r>
        <w:rPr>
          <w:rFonts w:hint="eastAsia" w:ascii="仿宋_GB2312" w:hAnsi="仿宋_GB2312" w:eastAsia="仿宋_GB2312" w:cs="仿宋_GB2312"/>
          <w:sz w:val="32"/>
          <w:szCs w:val="32"/>
        </w:rPr>
        <w:t>第二</w:t>
      </w:r>
      <w:r>
        <w:rPr>
          <w:rFonts w:hint="eastAsia" w:ascii="仿宋_GB2312" w:hAnsi="仿宋_GB2312" w:eastAsia="仿宋_GB2312" w:cs="仿宋_GB2312"/>
          <w:sz w:val="32"/>
          <w:szCs w:val="32"/>
          <w:highlight w:val="none"/>
          <w:u w:val="none"/>
        </w:rPr>
        <w:t>条  学校各部门要进一步转变观念，不断增强党风廉政建设责任意识，对重要监督报备事项，要按照“谁组织、谁负责”的原则，按照政策文件依据，认真制定工作方</w:t>
      </w:r>
      <w:r>
        <w:rPr>
          <w:rFonts w:hint="eastAsia" w:ascii="仿宋_GB2312" w:hAnsi="仿宋_GB2312" w:eastAsia="仿宋_GB2312" w:cs="仿宋_GB2312"/>
          <w:color w:val="auto"/>
          <w:sz w:val="32"/>
          <w:szCs w:val="32"/>
          <w:highlight w:val="none"/>
          <w:u w:val="none"/>
        </w:rPr>
        <w:t>案，积极发挥履职自我监督作用，确保权力阳光规范运行。要坚持履职自我监督与改进工作相结合，不断完善相关制度规定，不断提高履职能力。</w:t>
      </w:r>
    </w:p>
    <w:p>
      <w:pPr>
        <w:tabs>
          <w:tab w:val="left" w:pos="7560"/>
        </w:tabs>
        <w:spacing w:after="0" w:line="560" w:lineRule="exact"/>
        <w:ind w:firstLine="640" w:firstLineChars="200"/>
        <w:jc w:val="both"/>
        <w:rPr>
          <w:rFonts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第三条  纪检监察部</w:t>
      </w:r>
      <w:bookmarkStart w:id="0" w:name="_GoBack"/>
      <w:bookmarkEnd w:id="0"/>
      <w:r>
        <w:rPr>
          <w:rFonts w:hint="eastAsia" w:ascii="仿宋_GB2312" w:hAnsi="仿宋_GB2312" w:eastAsia="仿宋_GB2312" w:cs="仿宋_GB2312"/>
          <w:color w:val="auto"/>
          <w:sz w:val="32"/>
          <w:szCs w:val="32"/>
          <w:highlight w:val="none"/>
          <w:u w:val="none"/>
        </w:rPr>
        <w:t>门要坚持聚焦主责主业，切实履行监督执纪问责职责，努力营造公开公平公正的监督环境。要坚持事前介入、事中监督和事后检查相结合原则，加强监督事项的工作指导，着重强化对部门履行职责情况的监督。对部门报备的纪检监察监督事项，要认真分析研究，采取现场监督、定期抽查、流程监督等方式或多种方式并用，加强对重点领域和关键环节的再监督。</w:t>
      </w:r>
    </w:p>
    <w:p>
      <w:pPr>
        <w:tabs>
          <w:tab w:val="left" w:pos="7560"/>
        </w:tabs>
        <w:spacing w:after="0" w:line="560" w:lineRule="exact"/>
        <w:ind w:firstLine="640" w:firstLineChars="200"/>
        <w:jc w:val="both"/>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第四条  重要监督事项主要包括：干部选拔、招生录取、人事招聘、职称评审、招标采购、基本建设、项目评审、社会合作办学、重大项目立项论证等重要事项。</w:t>
      </w:r>
    </w:p>
    <w:p>
      <w:pPr>
        <w:tabs>
          <w:tab w:val="left" w:pos="7560"/>
        </w:tabs>
        <w:spacing w:after="0" w:line="560" w:lineRule="exact"/>
        <w:ind w:firstLine="640" w:firstLineChars="200"/>
        <w:jc w:val="both"/>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除上述所列重要监督事项外，如部门认为重要的、存在利益输送等廉政风险的其它事项，也可以向纪检监察部门报备。</w:t>
      </w:r>
    </w:p>
    <w:p>
      <w:pPr>
        <w:tabs>
          <w:tab w:val="left" w:pos="7560"/>
        </w:tabs>
        <w:spacing w:after="0" w:line="560" w:lineRule="exact"/>
        <w:ind w:firstLine="640" w:firstLineChars="200"/>
        <w:jc w:val="both"/>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第五条  重要监督事项报备内容主要包括：报备事项名称、文件依据、工作方案、工作流程、自我监督方式（含廉政风险防控措施）等内容。监督事项在实际执行过程中，若出现与程序规则不一致、发生争议或投诉等特殊情况的，还需书面报备特殊情况的处理结果。</w:t>
      </w:r>
    </w:p>
    <w:p>
      <w:pPr>
        <w:tabs>
          <w:tab w:val="left" w:pos="7560"/>
        </w:tabs>
        <w:spacing w:after="0" w:line="560" w:lineRule="exact"/>
        <w:ind w:firstLine="640" w:firstLineChars="200"/>
        <w:jc w:val="both"/>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第六条  重要监督事项，凡属于每年常规例行的，各部门应在每学期开学2周内向纪检监察处报备；若是新增的或非常规的事项应提前10个工作日向纪检监察处报备《重要监督事项报备表》（附表1）；若遇特殊情况无法事前报备的监督事项，应在完成后5个工作日内，向纪检监察处报送经部门负责人签字确认的报备表。</w:t>
      </w:r>
    </w:p>
    <w:p>
      <w:pPr>
        <w:tabs>
          <w:tab w:val="left" w:pos="7560"/>
        </w:tabs>
        <w:spacing w:after="0" w:line="560" w:lineRule="exact"/>
        <w:ind w:firstLine="640" w:firstLineChars="200"/>
        <w:jc w:val="both"/>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第七条  纪检监察处要及时受理各部门提出的监督事项报备申请，对报备事项进行关键因素分析，积极与相关部门协调沟通，提出改进工作流程、防范廉政风险的意见建议，确保监督事项履职到位。同时，结合监督重点与工作安排，选取适合的监督方式、安排监督人员；监督人员要及时、详细记录监督检查工作情况，填写《重要监督事项监督记录表》（附表2）。</w:t>
      </w:r>
    </w:p>
    <w:p>
      <w:pPr>
        <w:tabs>
          <w:tab w:val="left" w:pos="7560"/>
        </w:tabs>
        <w:spacing w:after="0" w:line="560" w:lineRule="exact"/>
        <w:ind w:firstLine="640" w:firstLineChars="200"/>
        <w:jc w:val="both"/>
        <w:rPr>
          <w:rFonts w:ascii="仿宋_GB2312" w:hAnsi="仿宋_GB2312" w:eastAsia="仿宋_GB2312" w:cs="仿宋_GB2312"/>
          <w:sz w:val="32"/>
          <w:szCs w:val="32"/>
          <w:highlight w:val="none"/>
          <w:u w:val="none"/>
        </w:rPr>
      </w:pPr>
      <w:r>
        <w:rPr>
          <w:rFonts w:hint="eastAsia" w:ascii="仿宋_GB2312" w:hAnsi="仿宋_GB2312" w:eastAsia="仿宋_GB2312" w:cs="仿宋_GB2312"/>
          <w:sz w:val="32"/>
          <w:szCs w:val="32"/>
          <w:highlight w:val="none"/>
          <w:u w:val="none"/>
        </w:rPr>
        <w:t>第八条  各部门若出现有关事项应报备而未报备或虽已报备但实际未按报备工作方案执行的情形，视造成影响或后果的严重程度，严肃追究部门及相关人员的责任。</w:t>
      </w:r>
    </w:p>
    <w:p>
      <w:pPr>
        <w:tabs>
          <w:tab w:val="left" w:pos="7560"/>
        </w:tabs>
        <w:spacing w:after="0" w:line="560" w:lineRule="exact"/>
        <w:ind w:firstLine="640" w:firstLineChars="200"/>
        <w:jc w:val="both"/>
        <w:rPr>
          <w:rFonts w:ascii="仿宋_GB2312" w:hAnsi="仿宋_GB2312" w:eastAsia="仿宋_GB2312" w:cs="仿宋_GB2312"/>
          <w:sz w:val="32"/>
          <w:szCs w:val="32"/>
          <w:u w:val="none"/>
        </w:rPr>
      </w:pPr>
      <w:r>
        <w:rPr>
          <w:rFonts w:hint="eastAsia" w:ascii="仿宋_GB2312" w:hAnsi="仿宋_GB2312" w:eastAsia="仿宋_GB2312" w:cs="仿宋_GB2312"/>
          <w:sz w:val="32"/>
          <w:szCs w:val="32"/>
          <w:highlight w:val="none"/>
          <w:u w:val="none"/>
        </w:rPr>
        <w:t>第九条  纪检监察处只对监督事项的程序性、公开性、公平性进行监督，不参与实施部门的具体业务工作。报备</w:t>
      </w:r>
      <w:r>
        <w:rPr>
          <w:rFonts w:hint="eastAsia" w:ascii="仿宋_GB2312" w:hAnsi="仿宋_GB2312" w:eastAsia="仿宋_GB2312" w:cs="仿宋_GB2312"/>
          <w:sz w:val="32"/>
          <w:szCs w:val="32"/>
          <w:u w:val="none"/>
        </w:rPr>
        <w:t xml:space="preserve">部门应强化对事项的管理和自我监督，承担主体责任。  </w:t>
      </w:r>
    </w:p>
    <w:p>
      <w:pPr>
        <w:tabs>
          <w:tab w:val="left" w:pos="7560"/>
        </w:tabs>
        <w:spacing w:after="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u w:val="none"/>
        </w:rPr>
        <w:t>第十条  本办法由纪检监察</w:t>
      </w:r>
      <w:r>
        <w:rPr>
          <w:rFonts w:hint="eastAsia" w:ascii="仿宋_GB2312" w:hAnsi="仿宋_GB2312" w:eastAsia="仿宋_GB2312" w:cs="仿宋_GB2312"/>
          <w:sz w:val="32"/>
          <w:szCs w:val="32"/>
        </w:rPr>
        <w:t>处负责解释。</w:t>
      </w:r>
    </w:p>
    <w:p>
      <w:pPr>
        <w:tabs>
          <w:tab w:val="left" w:pos="7560"/>
        </w:tabs>
        <w:spacing w:after="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第十一条  本办法自发布之日起施行。</w:t>
      </w:r>
    </w:p>
    <w:p>
      <w:pPr>
        <w:tabs>
          <w:tab w:val="left" w:pos="7560"/>
        </w:tabs>
        <w:spacing w:after="0" w:line="560" w:lineRule="exact"/>
        <w:ind w:firstLine="640" w:firstLineChars="200"/>
        <w:jc w:val="both"/>
        <w:rPr>
          <w:rFonts w:ascii="仿宋_GB2312" w:hAnsi="仿宋_GB2312" w:eastAsia="仿宋_GB2312" w:cs="仿宋_GB2312"/>
          <w:sz w:val="32"/>
          <w:szCs w:val="32"/>
        </w:rPr>
      </w:pPr>
    </w:p>
    <w:p>
      <w:pPr>
        <w:tabs>
          <w:tab w:val="left" w:pos="7560"/>
        </w:tabs>
        <w:spacing w:after="0" w:line="560" w:lineRule="exact"/>
        <w:ind w:firstLine="320" w:firstLineChars="100"/>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中共浙江经济职业技术学院纪律检查委员会</w:t>
      </w:r>
    </w:p>
    <w:p>
      <w:pPr>
        <w:tabs>
          <w:tab w:val="left" w:pos="7560"/>
        </w:tabs>
        <w:spacing w:after="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2018年6月11日</w:t>
      </w:r>
    </w:p>
    <w:p>
      <w:pPr>
        <w:tabs>
          <w:tab w:val="left" w:pos="7560"/>
        </w:tabs>
        <w:spacing w:after="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spacing w:after="0"/>
        <w:jc w:val="center"/>
        <w:rPr>
          <w:rFonts w:ascii="黑体" w:hAnsi="黑体" w:eastAsia="黑体" w:cs="黑体"/>
          <w:sz w:val="32"/>
          <w:szCs w:val="32"/>
        </w:rPr>
      </w:pPr>
      <w:r>
        <w:rPr>
          <w:rFonts w:hint="eastAsia" w:ascii="仿宋_GB2312" w:hAnsi="仿宋_GB2312" w:eastAsia="仿宋_GB2312" w:cs="仿宋_GB2312"/>
          <w:sz w:val="32"/>
          <w:szCs w:val="32"/>
        </w:rPr>
        <w:t>附表1：</w:t>
      </w:r>
      <w:r>
        <w:rPr>
          <w:rFonts w:hint="eastAsia" w:ascii="黑体" w:hAnsi="黑体" w:eastAsia="黑体" w:cs="黑体"/>
          <w:b/>
          <w:sz w:val="32"/>
          <w:szCs w:val="32"/>
        </w:rPr>
        <w:t>浙江经济职业技术学院重要监督事项报备表</w:t>
      </w:r>
    </w:p>
    <w:p>
      <w:pPr>
        <w:spacing w:after="0"/>
        <w:jc w:val="center"/>
        <w:rPr>
          <w:rFonts w:hint="eastAsia" w:ascii="宋体" w:hAnsi="宋体" w:cs="宋体"/>
          <w:color w:val="333333"/>
        </w:rPr>
      </w:pPr>
    </w:p>
    <w:p>
      <w:pPr>
        <w:spacing w:after="0"/>
        <w:rPr>
          <w:rFonts w:hint="eastAsia" w:ascii="宋体" w:hAnsi="宋体" w:cs="宋体"/>
          <w:color w:val="333333"/>
        </w:rPr>
      </w:pPr>
    </w:p>
    <w:p>
      <w:pPr>
        <w:spacing w:after="0"/>
        <w:rPr>
          <w:rFonts w:ascii="宋体" w:hAnsi="宋体" w:cs="宋体"/>
          <w:color w:val="333333"/>
        </w:rPr>
      </w:pPr>
      <w:r>
        <w:rPr>
          <w:rFonts w:hint="eastAsia" w:asciiTheme="minorEastAsia" w:hAnsiTheme="minorEastAsia" w:eastAsiaTheme="minorEastAsia" w:cstheme="minorEastAsia"/>
          <w:color w:val="333333"/>
          <w:sz w:val="24"/>
          <w:szCs w:val="24"/>
        </w:rPr>
        <w:t>部门</w:t>
      </w:r>
      <w:r>
        <w:rPr>
          <w:rFonts w:hint="eastAsia" w:asciiTheme="minorEastAsia" w:hAnsiTheme="minorEastAsia" w:eastAsiaTheme="minorEastAsia" w:cstheme="minorEastAsia"/>
          <w:color w:val="333333"/>
          <w:sz w:val="24"/>
          <w:szCs w:val="24"/>
          <w:lang w:eastAsia="zh-CN"/>
        </w:rPr>
        <w:t>（盖章）</w:t>
      </w:r>
      <w:r>
        <w:rPr>
          <w:rFonts w:hint="eastAsia" w:asciiTheme="minorEastAsia" w:hAnsiTheme="minorEastAsia" w:eastAsiaTheme="minorEastAsia" w:cstheme="minorEastAsia"/>
          <w:color w:val="333333"/>
          <w:sz w:val="24"/>
          <w:szCs w:val="24"/>
        </w:rPr>
        <w:t xml:space="preserve">：                                        年    月    日   </w:t>
      </w:r>
      <w:r>
        <w:rPr>
          <w:rFonts w:hint="eastAsia" w:ascii="宋体" w:hAnsi="宋体" w:cs="宋体"/>
          <w:color w:val="333333"/>
        </w:rPr>
        <w:t xml:space="preserve">                                               </w:t>
      </w:r>
    </w:p>
    <w:tbl>
      <w:tblPr>
        <w:tblStyle w:val="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1701"/>
        <w:gridCol w:w="1276"/>
        <w:gridCol w:w="1275"/>
        <w:gridCol w:w="27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2" w:hRule="atLeast"/>
        </w:trPr>
        <w:tc>
          <w:tcPr>
            <w:tcW w:w="1526"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报备事项</w:t>
            </w:r>
          </w:p>
        </w:tc>
        <w:tc>
          <w:tcPr>
            <w:tcW w:w="6996" w:type="dxa"/>
            <w:gridSpan w:val="4"/>
            <w:vAlign w:val="center"/>
          </w:tcPr>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6" w:hRule="atLeast"/>
        </w:trPr>
        <w:tc>
          <w:tcPr>
            <w:tcW w:w="1526"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项目负责人</w:t>
            </w:r>
          </w:p>
        </w:tc>
        <w:tc>
          <w:tcPr>
            <w:tcW w:w="2977" w:type="dxa"/>
            <w:gridSpan w:val="2"/>
            <w:vAlign w:val="center"/>
          </w:tcPr>
          <w:p>
            <w:pPr>
              <w:spacing w:after="0"/>
              <w:jc w:val="center"/>
              <w:rPr>
                <w:rFonts w:asciiTheme="minorEastAsia" w:hAnsiTheme="minorEastAsia" w:eastAsiaTheme="minorEastAsia" w:cstheme="minorEastAsia"/>
                <w:sz w:val="24"/>
                <w:szCs w:val="24"/>
              </w:rPr>
            </w:pPr>
          </w:p>
        </w:tc>
        <w:tc>
          <w:tcPr>
            <w:tcW w:w="1275"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经办人</w:t>
            </w:r>
          </w:p>
        </w:tc>
        <w:tc>
          <w:tcPr>
            <w:tcW w:w="2744" w:type="dxa"/>
            <w:vAlign w:val="center"/>
          </w:tcPr>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2" w:hRule="atLeast"/>
        </w:trPr>
        <w:tc>
          <w:tcPr>
            <w:tcW w:w="1526"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文件依据</w:t>
            </w:r>
          </w:p>
        </w:tc>
        <w:tc>
          <w:tcPr>
            <w:tcW w:w="6996" w:type="dxa"/>
            <w:gridSpan w:val="4"/>
            <w:vAlign w:val="center"/>
          </w:tcPr>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9" w:hRule="atLeast"/>
        </w:trPr>
        <w:tc>
          <w:tcPr>
            <w:tcW w:w="1526" w:type="dxa"/>
            <w:vMerge w:val="restart"/>
            <w:vAlign w:val="center"/>
          </w:tcPr>
          <w:p>
            <w:pPr>
              <w:spacing w:after="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拟实施情况</w:t>
            </w:r>
          </w:p>
          <w:p>
            <w:pPr>
              <w:spacing w:after="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tc>
        <w:tc>
          <w:tcPr>
            <w:tcW w:w="1701" w:type="dxa"/>
            <w:tcBorders>
              <w:bottom w:val="single" w:color="auto" w:sz="4" w:space="0"/>
            </w:tcBorders>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w:t>
            </w:r>
          </w:p>
        </w:tc>
        <w:tc>
          <w:tcPr>
            <w:tcW w:w="5295" w:type="dxa"/>
            <w:gridSpan w:val="3"/>
            <w:tcBorders>
              <w:bottom w:val="single" w:color="auto" w:sz="4" w:space="0"/>
            </w:tcBorders>
            <w:vAlign w:val="center"/>
          </w:tcPr>
          <w:p>
            <w:pPr>
              <w:spacing w:after="0"/>
              <w:rPr>
                <w:rFonts w:asciiTheme="minorEastAsia" w:hAnsiTheme="minorEastAsia" w:eastAsiaTheme="minorEastAsia" w:cstheme="minorEastAsia"/>
                <w:sz w:val="24"/>
                <w:szCs w:val="24"/>
              </w:rPr>
            </w:pPr>
          </w:p>
          <w:p>
            <w:pPr>
              <w:spacing w:after="0"/>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8" w:hRule="atLeast"/>
        </w:trPr>
        <w:tc>
          <w:tcPr>
            <w:tcW w:w="1526" w:type="dxa"/>
            <w:vMerge w:val="continue"/>
            <w:vAlign w:val="center"/>
          </w:tcPr>
          <w:p>
            <w:pPr>
              <w:rPr>
                <w:rFonts w:asciiTheme="minorEastAsia" w:hAnsiTheme="minorEastAsia" w:eastAsiaTheme="minorEastAsia" w:cstheme="minorEastAsia"/>
                <w:sz w:val="24"/>
                <w:szCs w:val="24"/>
              </w:rPr>
            </w:pPr>
          </w:p>
        </w:tc>
        <w:tc>
          <w:tcPr>
            <w:tcW w:w="1701" w:type="dxa"/>
            <w:tcBorders>
              <w:bottom w:val="single" w:color="auto" w:sz="4" w:space="0"/>
            </w:tcBorders>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w:t>
            </w:r>
          </w:p>
        </w:tc>
        <w:tc>
          <w:tcPr>
            <w:tcW w:w="5295" w:type="dxa"/>
            <w:gridSpan w:val="3"/>
            <w:tcBorders>
              <w:bottom w:val="single" w:color="auto" w:sz="4" w:space="0"/>
            </w:tcBorders>
            <w:vAlign w:val="center"/>
          </w:tcPr>
          <w:p>
            <w:pPr>
              <w:spacing w:after="0"/>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36" w:hRule="atLeast"/>
        </w:trPr>
        <w:tc>
          <w:tcPr>
            <w:tcW w:w="1526" w:type="dxa"/>
            <w:vMerge w:val="continue"/>
            <w:vAlign w:val="center"/>
          </w:tcPr>
          <w:p>
            <w:pPr>
              <w:rPr>
                <w:rFonts w:asciiTheme="minorEastAsia" w:hAnsiTheme="minorEastAsia" w:eastAsiaTheme="minorEastAsia" w:cstheme="minorEastAsia"/>
                <w:sz w:val="24"/>
                <w:szCs w:val="24"/>
              </w:rPr>
            </w:pPr>
          </w:p>
        </w:tc>
        <w:tc>
          <w:tcPr>
            <w:tcW w:w="1701" w:type="dxa"/>
            <w:tcBorders>
              <w:bottom w:val="single" w:color="auto" w:sz="4" w:space="0"/>
            </w:tcBorders>
            <w:vAlign w:val="center"/>
          </w:tcPr>
          <w:p>
            <w:pPr>
              <w:spacing w:after="0"/>
              <w:jc w:val="center"/>
              <w:rPr>
                <w:rFonts w:hint="eastAsia" w:asciiTheme="minorEastAsia" w:hAnsiTheme="minorEastAsia" w:eastAsiaTheme="minorEastAsia" w:cstheme="minorEastAsia"/>
                <w:sz w:val="24"/>
                <w:szCs w:val="24"/>
              </w:rPr>
            </w:pPr>
          </w:p>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工作方案</w:t>
            </w:r>
          </w:p>
          <w:p>
            <w:pPr>
              <w:spacing w:after="0"/>
              <w:ind w:firstLine="120" w:firstLineChars="5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（可附件）</w:t>
            </w:r>
          </w:p>
          <w:p>
            <w:pPr>
              <w:spacing w:after="0"/>
              <w:jc w:val="center"/>
              <w:rPr>
                <w:rFonts w:asciiTheme="minorEastAsia" w:hAnsiTheme="minorEastAsia" w:eastAsiaTheme="minorEastAsia" w:cstheme="minorEastAsia"/>
                <w:sz w:val="24"/>
                <w:szCs w:val="24"/>
              </w:rPr>
            </w:pPr>
          </w:p>
        </w:tc>
        <w:tc>
          <w:tcPr>
            <w:tcW w:w="5295" w:type="dxa"/>
            <w:gridSpan w:val="3"/>
            <w:tcBorders>
              <w:bottom w:val="single" w:color="auto" w:sz="4" w:space="0"/>
            </w:tcBorders>
            <w:vAlign w:val="center"/>
          </w:tcPr>
          <w:p>
            <w:pPr>
              <w:spacing w:after="0"/>
              <w:rPr>
                <w:rFonts w:hint="eastAsia" w:asciiTheme="minorEastAsia" w:hAnsiTheme="minorEastAsia" w:eastAsiaTheme="minorEastAsia" w:cstheme="minorEastAsia"/>
                <w:sz w:val="24"/>
                <w:szCs w:val="24"/>
              </w:rPr>
            </w:pPr>
          </w:p>
          <w:p>
            <w:pPr>
              <w:spacing w:after="0"/>
              <w:rPr>
                <w:rFonts w:hint="eastAsia" w:asciiTheme="minorEastAsia" w:hAnsiTheme="minorEastAsia" w:eastAsiaTheme="minorEastAsia" w:cstheme="minorEastAsia"/>
                <w:sz w:val="24"/>
                <w:szCs w:val="24"/>
              </w:rPr>
            </w:pPr>
          </w:p>
          <w:p>
            <w:pPr>
              <w:spacing w:after="0"/>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1" w:hRule="atLeast"/>
        </w:trPr>
        <w:tc>
          <w:tcPr>
            <w:tcW w:w="1526" w:type="dxa"/>
            <w:vMerge w:val="continue"/>
            <w:vAlign w:val="center"/>
          </w:tcPr>
          <w:p>
            <w:pPr>
              <w:rPr>
                <w:rFonts w:asciiTheme="minorEastAsia" w:hAnsiTheme="minorEastAsia" w:eastAsiaTheme="minorEastAsia" w:cstheme="minorEastAsia"/>
                <w:sz w:val="24"/>
                <w:szCs w:val="24"/>
              </w:rPr>
            </w:pPr>
          </w:p>
        </w:tc>
        <w:tc>
          <w:tcPr>
            <w:tcW w:w="1701" w:type="dxa"/>
            <w:tcBorders>
              <w:bottom w:val="single" w:color="auto" w:sz="4" w:space="0"/>
            </w:tcBorders>
            <w:vAlign w:val="center"/>
          </w:tcPr>
          <w:p>
            <w:pPr>
              <w:spacing w:after="0"/>
              <w:jc w:val="center"/>
              <w:rPr>
                <w:rFonts w:hint="eastAsia"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工作流程</w:t>
            </w:r>
          </w:p>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（可附件）</w:t>
            </w:r>
          </w:p>
          <w:p>
            <w:pPr>
              <w:spacing w:after="0"/>
              <w:jc w:val="center"/>
              <w:rPr>
                <w:rFonts w:asciiTheme="minorEastAsia" w:hAnsiTheme="minorEastAsia" w:eastAsiaTheme="minorEastAsia" w:cstheme="minorEastAsia"/>
                <w:sz w:val="24"/>
                <w:szCs w:val="24"/>
              </w:rPr>
            </w:pPr>
          </w:p>
        </w:tc>
        <w:tc>
          <w:tcPr>
            <w:tcW w:w="5295" w:type="dxa"/>
            <w:gridSpan w:val="3"/>
            <w:tcBorders>
              <w:bottom w:val="single" w:color="auto" w:sz="4" w:space="0"/>
            </w:tcBorders>
            <w:vAlign w:val="center"/>
          </w:tcPr>
          <w:p>
            <w:pPr>
              <w:spacing w:after="0"/>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12" w:hRule="atLeast"/>
        </w:trPr>
        <w:tc>
          <w:tcPr>
            <w:tcW w:w="1526" w:type="dxa"/>
            <w:vMerge w:val="continue"/>
            <w:vAlign w:val="center"/>
          </w:tcPr>
          <w:p>
            <w:pPr>
              <w:spacing w:after="0"/>
              <w:rPr>
                <w:rFonts w:asciiTheme="minorEastAsia" w:hAnsiTheme="minorEastAsia" w:eastAsiaTheme="minorEastAsia" w:cstheme="minorEastAsia"/>
                <w:sz w:val="24"/>
                <w:szCs w:val="24"/>
              </w:rPr>
            </w:pPr>
          </w:p>
        </w:tc>
        <w:tc>
          <w:tcPr>
            <w:tcW w:w="1701" w:type="dxa"/>
            <w:tcBorders>
              <w:bottom w:val="single" w:color="auto" w:sz="4" w:space="0"/>
            </w:tcBorders>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信息公开</w:t>
            </w:r>
          </w:p>
          <w:p>
            <w:pPr>
              <w:spacing w:after="0"/>
              <w:ind w:firstLine="600" w:firstLineChars="25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w:t>
            </w:r>
          </w:p>
        </w:tc>
        <w:tc>
          <w:tcPr>
            <w:tcW w:w="5295" w:type="dxa"/>
            <w:gridSpan w:val="3"/>
            <w:tcBorders>
              <w:bottom w:val="single" w:color="auto" w:sz="4" w:space="0"/>
            </w:tcBorders>
            <w:vAlign w:val="center"/>
          </w:tcPr>
          <w:p>
            <w:pPr>
              <w:spacing w:after="0"/>
              <w:rPr>
                <w:rFonts w:asciiTheme="minorEastAsia" w:hAnsiTheme="minorEastAsia" w:eastAsiaTheme="minorEastAsia" w:cstheme="minorEastAsia"/>
                <w:sz w:val="24"/>
                <w:szCs w:val="24"/>
              </w:rPr>
            </w:pPr>
          </w:p>
          <w:p>
            <w:pPr>
              <w:spacing w:after="0"/>
              <w:rPr>
                <w:rFonts w:hint="eastAsia" w:asciiTheme="minorEastAsia" w:hAnsiTheme="minorEastAsia" w:eastAsiaTheme="minorEastAsia" w:cstheme="minorEastAsia"/>
                <w:sz w:val="24"/>
                <w:szCs w:val="24"/>
              </w:rPr>
            </w:pPr>
          </w:p>
          <w:p>
            <w:pPr>
              <w:spacing w:after="0"/>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05" w:hRule="atLeast"/>
        </w:trPr>
        <w:tc>
          <w:tcPr>
            <w:tcW w:w="1526" w:type="dxa"/>
            <w:vMerge w:val="continue"/>
            <w:vAlign w:val="center"/>
          </w:tcPr>
          <w:p>
            <w:pPr>
              <w:spacing w:after="0"/>
              <w:rPr>
                <w:rFonts w:asciiTheme="minorEastAsia" w:hAnsiTheme="minorEastAsia" w:eastAsiaTheme="minorEastAsia" w:cstheme="minorEastAsia"/>
                <w:sz w:val="24"/>
                <w:szCs w:val="24"/>
              </w:rPr>
            </w:pPr>
          </w:p>
        </w:tc>
        <w:tc>
          <w:tcPr>
            <w:tcW w:w="1701" w:type="dxa"/>
            <w:tcBorders>
              <w:bottom w:val="single" w:color="auto" w:sz="4" w:space="0"/>
            </w:tcBorders>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自我监督</w:t>
            </w:r>
          </w:p>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w:t>
            </w:r>
          </w:p>
        </w:tc>
        <w:tc>
          <w:tcPr>
            <w:tcW w:w="5295" w:type="dxa"/>
            <w:gridSpan w:val="3"/>
            <w:tcBorders>
              <w:bottom w:val="single" w:color="auto" w:sz="4" w:space="0"/>
            </w:tcBorders>
            <w:vAlign w:val="center"/>
          </w:tcPr>
          <w:p>
            <w:pPr>
              <w:spacing w:after="0"/>
              <w:rPr>
                <w:rFonts w:hint="eastAsia" w:asciiTheme="minorEastAsia" w:hAnsiTheme="minorEastAsia" w:eastAsiaTheme="minorEastAsia" w:cstheme="minorEastAsia"/>
                <w:sz w:val="24"/>
                <w:szCs w:val="24"/>
              </w:rPr>
            </w:pPr>
          </w:p>
          <w:p>
            <w:pPr>
              <w:spacing w:after="0"/>
              <w:rPr>
                <w:rFonts w:hint="eastAsia" w:asciiTheme="minorEastAsia" w:hAnsiTheme="minorEastAsia" w:eastAsiaTheme="minorEastAsia" w:cstheme="minorEastAsia"/>
                <w:sz w:val="24"/>
                <w:szCs w:val="24"/>
              </w:rPr>
            </w:pPr>
          </w:p>
          <w:p>
            <w:pPr>
              <w:spacing w:after="0"/>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8" w:hRule="atLeast"/>
        </w:trPr>
        <w:tc>
          <w:tcPr>
            <w:tcW w:w="1526"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特殊情况</w:t>
            </w:r>
          </w:p>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w:t>
            </w:r>
          </w:p>
        </w:tc>
        <w:tc>
          <w:tcPr>
            <w:tcW w:w="6996" w:type="dxa"/>
            <w:gridSpan w:val="4"/>
            <w:vAlign w:val="center"/>
          </w:tcPr>
          <w:p>
            <w:pPr>
              <w:spacing w:after="0"/>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rPr>
                <w:rFonts w:asciiTheme="minorEastAsia" w:hAnsiTheme="minorEastAsia" w:eastAsiaTheme="minorEastAsia" w:cstheme="minorEastAsia"/>
                <w:sz w:val="24"/>
                <w:szCs w:val="24"/>
              </w:rPr>
            </w:pPr>
          </w:p>
          <w:p>
            <w:pPr>
              <w:spacing w:after="0"/>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hint="eastAsia"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7" w:hRule="atLeast"/>
        </w:trPr>
        <w:tc>
          <w:tcPr>
            <w:tcW w:w="1526" w:type="dxa"/>
            <w:vAlign w:val="center"/>
          </w:tcPr>
          <w:p>
            <w:pPr>
              <w:spacing w:after="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部门负责人意见</w:t>
            </w:r>
          </w:p>
        </w:tc>
        <w:tc>
          <w:tcPr>
            <w:tcW w:w="6996" w:type="dxa"/>
            <w:gridSpan w:val="4"/>
            <w:vAlign w:val="center"/>
          </w:tcPr>
          <w:p>
            <w:pPr>
              <w:spacing w:after="0"/>
              <w:jc w:val="center"/>
              <w:rPr>
                <w:rFonts w:hint="eastAsia" w:asciiTheme="minorEastAsia" w:hAnsiTheme="minorEastAsia" w:eastAsiaTheme="minorEastAsia" w:cstheme="minorEastAsia"/>
                <w:sz w:val="24"/>
                <w:szCs w:val="24"/>
              </w:rPr>
            </w:pPr>
          </w:p>
          <w:p>
            <w:pPr>
              <w:spacing w:after="0"/>
              <w:jc w:val="center"/>
              <w:rPr>
                <w:rFonts w:hint="eastAsia" w:asciiTheme="minorEastAsia" w:hAnsiTheme="minorEastAsia" w:eastAsiaTheme="minorEastAsia" w:cstheme="minorEastAsia"/>
                <w:sz w:val="24"/>
                <w:szCs w:val="24"/>
              </w:rPr>
            </w:pPr>
          </w:p>
          <w:p>
            <w:pPr>
              <w:spacing w:after="0"/>
              <w:jc w:val="center"/>
              <w:rPr>
                <w:rFonts w:hint="eastAsia" w:asciiTheme="minorEastAsia" w:hAnsiTheme="minorEastAsia" w:eastAsiaTheme="minorEastAsia" w:cstheme="minorEastAsia"/>
                <w:sz w:val="24"/>
                <w:szCs w:val="24"/>
              </w:rPr>
            </w:pPr>
          </w:p>
          <w:p>
            <w:pPr>
              <w:spacing w:after="0"/>
              <w:jc w:val="center"/>
              <w:rPr>
                <w:rFonts w:hint="eastAsia" w:asciiTheme="minorEastAsia" w:hAnsiTheme="minorEastAsia" w:eastAsiaTheme="minorEastAsia" w:cstheme="minorEastAsia"/>
                <w:sz w:val="24"/>
                <w:szCs w:val="24"/>
              </w:rPr>
            </w:pPr>
          </w:p>
          <w:p>
            <w:pPr>
              <w:spacing w:after="0"/>
              <w:jc w:val="center"/>
              <w:rPr>
                <w:rFonts w:hint="eastAsia"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部门负责人签字：          </w:t>
            </w:r>
          </w:p>
          <w:p>
            <w:pPr>
              <w:spacing w:after="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年   月   日</w:t>
            </w:r>
          </w:p>
        </w:tc>
      </w:tr>
    </w:tbl>
    <w:p>
      <w:pPr>
        <w:spacing w:after="0"/>
        <w:ind w:firstLine="6615" w:firstLineChars="3150"/>
        <w:jc w:val="both"/>
        <w:rPr>
          <w:rFonts w:ascii="仿宋_GB2312" w:hAnsi="宋体" w:eastAsia="仿宋_GB2312"/>
          <w:sz w:val="21"/>
          <w:szCs w:val="21"/>
        </w:rPr>
      </w:pPr>
      <w:r>
        <w:rPr>
          <w:rFonts w:hint="eastAsia" w:ascii="仿宋_GB2312" w:hAnsi="宋体" w:eastAsia="仿宋_GB2312"/>
          <w:sz w:val="21"/>
          <w:szCs w:val="21"/>
        </w:rPr>
        <w:t>纪检监察处制表</w:t>
      </w:r>
    </w:p>
    <w:p>
      <w:pPr>
        <w:spacing w:after="0"/>
        <w:jc w:val="both"/>
        <w:rPr>
          <w:rFonts w:hint="eastAsia" w:ascii="仿宋_GB2312" w:hAnsi="宋体" w:eastAsia="仿宋_GB2312"/>
          <w:sz w:val="32"/>
          <w:szCs w:val="32"/>
        </w:rPr>
      </w:pPr>
    </w:p>
    <w:p>
      <w:pPr>
        <w:spacing w:after="0"/>
        <w:jc w:val="both"/>
        <w:rPr>
          <w:rFonts w:hint="eastAsia" w:ascii="仿宋_GB2312" w:hAnsi="宋体" w:eastAsia="仿宋_GB2312"/>
          <w:sz w:val="32"/>
          <w:szCs w:val="32"/>
        </w:rPr>
      </w:pPr>
      <w:r>
        <w:rPr>
          <w:rFonts w:hint="eastAsia" w:ascii="仿宋_GB2312" w:hAnsi="宋体" w:eastAsia="仿宋_GB2312"/>
          <w:sz w:val="32"/>
          <w:szCs w:val="32"/>
        </w:rPr>
        <w:t>附表</w:t>
      </w:r>
      <w:r>
        <w:rPr>
          <w:rFonts w:ascii="仿宋_GB2312" w:hAnsi="宋体" w:eastAsia="仿宋_GB2312"/>
          <w:sz w:val="32"/>
          <w:szCs w:val="32"/>
        </w:rPr>
        <w:t>2</w:t>
      </w:r>
      <w:r>
        <w:rPr>
          <w:rFonts w:hint="eastAsia" w:ascii="仿宋_GB2312" w:hAnsi="宋体" w:eastAsia="仿宋_GB2312"/>
          <w:sz w:val="32"/>
          <w:szCs w:val="32"/>
        </w:rPr>
        <w:t>：</w:t>
      </w:r>
      <w:r>
        <w:rPr>
          <w:rFonts w:hint="eastAsia" w:ascii="黑体" w:hAnsi="黑体" w:eastAsia="黑体" w:cs="黑体"/>
          <w:b/>
          <w:sz w:val="32"/>
          <w:szCs w:val="32"/>
        </w:rPr>
        <w:t>浙江经济职业技术学院重要监督事项监督记录表</w:t>
      </w:r>
    </w:p>
    <w:p>
      <w:pPr>
        <w:spacing w:after="0"/>
        <w:jc w:val="both"/>
        <w:rPr>
          <w:rFonts w:ascii="黑体" w:hAnsi="黑体" w:eastAsia="黑体" w:cs="黑体"/>
          <w:bCs/>
          <w:sz w:val="30"/>
          <w:szCs w:val="30"/>
        </w:rPr>
      </w:pPr>
    </w:p>
    <w:tbl>
      <w:tblPr>
        <w:tblStyle w:val="4"/>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2309"/>
        <w:gridCol w:w="1518"/>
        <w:gridCol w:w="27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951"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报备事项</w:t>
            </w:r>
          </w:p>
        </w:tc>
        <w:tc>
          <w:tcPr>
            <w:tcW w:w="6571" w:type="dxa"/>
            <w:gridSpan w:val="3"/>
            <w:vAlign w:val="center"/>
          </w:tcPr>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951"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报备部门</w:t>
            </w:r>
          </w:p>
        </w:tc>
        <w:tc>
          <w:tcPr>
            <w:tcW w:w="2309" w:type="dxa"/>
            <w:vAlign w:val="center"/>
          </w:tcPr>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tc>
        <w:tc>
          <w:tcPr>
            <w:tcW w:w="1518"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实施日期</w:t>
            </w:r>
          </w:p>
        </w:tc>
        <w:tc>
          <w:tcPr>
            <w:tcW w:w="2744" w:type="dxa"/>
            <w:vAlign w:val="center"/>
          </w:tcPr>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951"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监督方式</w:t>
            </w:r>
          </w:p>
        </w:tc>
        <w:tc>
          <w:tcPr>
            <w:tcW w:w="2309" w:type="dxa"/>
            <w:vAlign w:val="center"/>
          </w:tcPr>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tc>
        <w:tc>
          <w:tcPr>
            <w:tcW w:w="1518"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监督人员</w:t>
            </w:r>
          </w:p>
        </w:tc>
        <w:tc>
          <w:tcPr>
            <w:tcW w:w="2744" w:type="dxa"/>
            <w:vAlign w:val="center"/>
          </w:tcPr>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86" w:hRule="atLeast"/>
          <w:jc w:val="center"/>
        </w:trPr>
        <w:tc>
          <w:tcPr>
            <w:tcW w:w="1951" w:type="dxa"/>
            <w:vAlign w:val="center"/>
          </w:tcPr>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首次报备材料</w:t>
            </w:r>
          </w:p>
        </w:tc>
        <w:tc>
          <w:tcPr>
            <w:tcW w:w="6571" w:type="dxa"/>
            <w:gridSpan w:val="3"/>
            <w:vAlign w:val="center"/>
          </w:tcPr>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06" w:hRule="atLeast"/>
          <w:jc w:val="center"/>
        </w:trPr>
        <w:tc>
          <w:tcPr>
            <w:tcW w:w="8522" w:type="dxa"/>
            <w:gridSpan w:val="4"/>
          </w:tcPr>
          <w:p>
            <w:pPr>
              <w:spacing w:after="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监督事项关键点：</w:t>
            </w: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17" w:hRule="atLeast"/>
          <w:jc w:val="center"/>
        </w:trPr>
        <w:tc>
          <w:tcPr>
            <w:tcW w:w="8522" w:type="dxa"/>
            <w:gridSpan w:val="4"/>
          </w:tcPr>
          <w:p>
            <w:pPr>
              <w:spacing w:after="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监督事项实施情况：</w:t>
            </w: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29" w:hRule="atLeast"/>
          <w:jc w:val="center"/>
        </w:trPr>
        <w:tc>
          <w:tcPr>
            <w:tcW w:w="8522" w:type="dxa"/>
            <w:gridSpan w:val="4"/>
          </w:tcPr>
          <w:p>
            <w:pPr>
              <w:spacing w:after="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问题及监督建议：</w:t>
            </w: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p>
            <w:pPr>
              <w:spacing w:after="0"/>
              <w:jc w:val="center"/>
              <w:rPr>
                <w:rFonts w:asciiTheme="minorEastAsia" w:hAnsiTheme="minorEastAsia" w:eastAsiaTheme="minorEastAsia" w:cs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54" w:hRule="atLeast"/>
          <w:jc w:val="center"/>
        </w:trPr>
        <w:tc>
          <w:tcPr>
            <w:tcW w:w="8522" w:type="dxa"/>
            <w:gridSpan w:val="4"/>
          </w:tcPr>
          <w:p>
            <w:pPr>
              <w:spacing w:after="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bl>
    <w:p>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仿宋_GB2312" w:hAnsi="宋体" w:eastAsia="仿宋_GB2312"/>
          <w:sz w:val="21"/>
          <w:szCs w:val="21"/>
        </w:rPr>
        <w:t>纪检监察处制表</w:t>
      </w:r>
    </w:p>
    <w:sectPr>
      <w:pgSz w:w="11906" w:h="16838"/>
      <w:pgMar w:top="993"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2"/>
  </w:compat>
  <w:rsids>
    <w:rsidRoot w:val="00D31D50"/>
    <w:rsid w:val="000306D3"/>
    <w:rsid w:val="00030FA0"/>
    <w:rsid w:val="00031BE6"/>
    <w:rsid w:val="00050DF3"/>
    <w:rsid w:val="000511CD"/>
    <w:rsid w:val="00094F9B"/>
    <w:rsid w:val="000A1B47"/>
    <w:rsid w:val="000F110C"/>
    <w:rsid w:val="000F1D37"/>
    <w:rsid w:val="0010075D"/>
    <w:rsid w:val="001A52D4"/>
    <w:rsid w:val="002108B7"/>
    <w:rsid w:val="002569FC"/>
    <w:rsid w:val="00276A93"/>
    <w:rsid w:val="002D602B"/>
    <w:rsid w:val="002E2A67"/>
    <w:rsid w:val="002E5A81"/>
    <w:rsid w:val="00321DD3"/>
    <w:rsid w:val="00323B43"/>
    <w:rsid w:val="00332BAE"/>
    <w:rsid w:val="003C6917"/>
    <w:rsid w:val="003C75F4"/>
    <w:rsid w:val="003D37D8"/>
    <w:rsid w:val="003F2309"/>
    <w:rsid w:val="003F6253"/>
    <w:rsid w:val="00426133"/>
    <w:rsid w:val="004358AB"/>
    <w:rsid w:val="00460539"/>
    <w:rsid w:val="00492752"/>
    <w:rsid w:val="004D691A"/>
    <w:rsid w:val="004F0722"/>
    <w:rsid w:val="00502B31"/>
    <w:rsid w:val="005128F4"/>
    <w:rsid w:val="00525FFD"/>
    <w:rsid w:val="00534703"/>
    <w:rsid w:val="00544F51"/>
    <w:rsid w:val="00571560"/>
    <w:rsid w:val="00580034"/>
    <w:rsid w:val="005F58A3"/>
    <w:rsid w:val="0067771F"/>
    <w:rsid w:val="00696685"/>
    <w:rsid w:val="006A0CAA"/>
    <w:rsid w:val="006C29E9"/>
    <w:rsid w:val="00747663"/>
    <w:rsid w:val="00782F4F"/>
    <w:rsid w:val="007836DE"/>
    <w:rsid w:val="007B1C37"/>
    <w:rsid w:val="007B2055"/>
    <w:rsid w:val="007B4920"/>
    <w:rsid w:val="007E51C0"/>
    <w:rsid w:val="00816B02"/>
    <w:rsid w:val="00824872"/>
    <w:rsid w:val="008B0822"/>
    <w:rsid w:val="008B7726"/>
    <w:rsid w:val="008F0419"/>
    <w:rsid w:val="008F10A1"/>
    <w:rsid w:val="008F1A24"/>
    <w:rsid w:val="0090310E"/>
    <w:rsid w:val="009524B6"/>
    <w:rsid w:val="00957AAF"/>
    <w:rsid w:val="00980C15"/>
    <w:rsid w:val="00987398"/>
    <w:rsid w:val="009B13F9"/>
    <w:rsid w:val="00A64493"/>
    <w:rsid w:val="00A843AC"/>
    <w:rsid w:val="00B62B17"/>
    <w:rsid w:val="00B630DB"/>
    <w:rsid w:val="00B63EA6"/>
    <w:rsid w:val="00B72797"/>
    <w:rsid w:val="00B86F34"/>
    <w:rsid w:val="00C129FA"/>
    <w:rsid w:val="00C2417E"/>
    <w:rsid w:val="00C47216"/>
    <w:rsid w:val="00C53B1F"/>
    <w:rsid w:val="00C901C2"/>
    <w:rsid w:val="00CC0D08"/>
    <w:rsid w:val="00CC15E7"/>
    <w:rsid w:val="00CF2C54"/>
    <w:rsid w:val="00D31D50"/>
    <w:rsid w:val="00D52639"/>
    <w:rsid w:val="00D94F4E"/>
    <w:rsid w:val="00DA3A55"/>
    <w:rsid w:val="00E12DD7"/>
    <w:rsid w:val="00E1308D"/>
    <w:rsid w:val="00E84B0A"/>
    <w:rsid w:val="00EE06C3"/>
    <w:rsid w:val="00EF3367"/>
    <w:rsid w:val="00F01595"/>
    <w:rsid w:val="00F06A98"/>
    <w:rsid w:val="00F07C94"/>
    <w:rsid w:val="00F14C80"/>
    <w:rsid w:val="00F269CB"/>
    <w:rsid w:val="00FA053D"/>
    <w:rsid w:val="32DB0E6F"/>
    <w:rsid w:val="44861BEA"/>
    <w:rsid w:val="4B974740"/>
    <w:rsid w:val="7D2D2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6">
    <w:name w:val="页眉 Char"/>
    <w:basedOn w:val="5"/>
    <w:link w:val="3"/>
    <w:semiHidden/>
    <w:qFormat/>
    <w:uiPriority w:val="99"/>
    <w:rPr>
      <w:rFonts w:ascii="Tahoma" w:hAnsi="Tahoma"/>
      <w:sz w:val="18"/>
      <w:szCs w:val="18"/>
    </w:rPr>
  </w:style>
  <w:style w:type="character" w:customStyle="1" w:styleId="7">
    <w:name w:val="页脚 Char"/>
    <w:basedOn w:val="5"/>
    <w:link w:val="2"/>
    <w:semiHidden/>
    <w:qFormat/>
    <w:uiPriority w:val="99"/>
    <w:rPr>
      <w:rFonts w:ascii="Tahoma" w:hAnsi="Tahoma"/>
      <w:sz w:val="18"/>
      <w:szCs w:val="18"/>
    </w:rPr>
  </w:style>
  <w:style w:type="paragraph" w:customStyle="1" w:styleId="8">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9987B3-0A25-48E5-AC78-3802A5197766}">
  <ds:schemaRefs/>
</ds:datastoreItem>
</file>

<file path=docProps/app.xml><?xml version="1.0" encoding="utf-8"?>
<Properties xmlns="http://schemas.openxmlformats.org/officeDocument/2006/extended-properties" xmlns:vt="http://schemas.openxmlformats.org/officeDocument/2006/docPropsVTypes">
  <Template>Normal</Template>
  <Pages>6</Pages>
  <Words>305</Words>
  <Characters>1744</Characters>
  <Lines>14</Lines>
  <Paragraphs>4</Paragraphs>
  <TotalTime>20</TotalTime>
  <ScaleCrop>false</ScaleCrop>
  <LinksUpToDate>false</LinksUpToDate>
  <CharactersWithSpaces>2045</CharactersWithSpaces>
  <Application>WPS Office_11.1.0.8765_F1E327BC-269C-435d-A152-05C5408002CA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zy</cp:lastModifiedBy>
  <cp:lastPrinted>2018-05-25T05:45:00Z</cp:lastPrinted>
  <dcterms:modified xsi:type="dcterms:W3CDTF">2019-10-24T07:15:59Z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2052-11.1.0.8765</vt:lpwstr>
  </property>
</Properties>
</file>